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9615"/>
        <w:gridCol w:w="1853"/>
      </w:tblGrid>
      <w:tr w:rsidR="00DC1EEE" w:rsidRPr="001A4F11" w14:paraId="74FF80E1" w14:textId="77777777" w:rsidTr="00DC1EEE">
        <w:trPr>
          <w:tblHeader/>
        </w:trPr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42DBA7A7" w14:textId="31D4E900" w:rsidR="00DC1EEE" w:rsidRPr="001A4F11" w:rsidRDefault="00DC1EEE" w:rsidP="00B17EC5">
            <w:pPr>
              <w:spacing w:after="0"/>
              <w:jc w:val="center"/>
              <w:rPr>
                <w:rFonts w:eastAsiaTheme="majorEastAsia" w:cs="Arial"/>
                <w:b/>
                <w:szCs w:val="20"/>
              </w:rPr>
            </w:pPr>
            <w:r>
              <w:rPr>
                <w:rFonts w:eastAsiaTheme="majorEastAsia" w:cs="Arial"/>
                <w:b/>
                <w:szCs w:val="20"/>
              </w:rPr>
              <w:t>Pacht</w:t>
            </w:r>
          </w:p>
        </w:tc>
        <w:tc>
          <w:tcPr>
            <w:tcW w:w="9615" w:type="dxa"/>
            <w:shd w:val="clear" w:color="auto" w:fill="D9D9D9" w:themeFill="background1" w:themeFillShade="D9"/>
            <w:vAlign w:val="center"/>
          </w:tcPr>
          <w:p w14:paraId="7FBB8F06" w14:textId="3FFF6016" w:rsidR="00DC1EEE" w:rsidRPr="001A4F11" w:rsidRDefault="00DC1EEE" w:rsidP="00B17EC5">
            <w:pPr>
              <w:spacing w:after="0"/>
              <w:jc w:val="center"/>
              <w:rPr>
                <w:rFonts w:eastAsiaTheme="majorEastAsia" w:cs="Arial"/>
                <w:b/>
                <w:szCs w:val="20"/>
              </w:rPr>
            </w:pPr>
            <w:r>
              <w:rPr>
                <w:rFonts w:eastAsiaTheme="majorEastAsia" w:cs="Arial"/>
                <w:b/>
                <w:szCs w:val="20"/>
              </w:rPr>
              <w:t>Definition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14:paraId="596AE5D2" w14:textId="17DCEE6D" w:rsidR="00DC1EEE" w:rsidRPr="001A4F11" w:rsidRDefault="00DC1EEE" w:rsidP="00B17EC5">
            <w:pPr>
              <w:spacing w:after="0"/>
              <w:jc w:val="center"/>
              <w:rPr>
                <w:rFonts w:eastAsiaTheme="majorEastAsia" w:cs="Arial"/>
                <w:b/>
                <w:szCs w:val="20"/>
              </w:rPr>
            </w:pPr>
            <w:r>
              <w:rPr>
                <w:rFonts w:eastAsiaTheme="majorEastAsia" w:cs="Arial"/>
                <w:b/>
                <w:szCs w:val="20"/>
              </w:rPr>
              <w:t>Nettopreis / Monat</w:t>
            </w:r>
          </w:p>
        </w:tc>
      </w:tr>
      <w:tr w:rsidR="00DC1EEE" w:rsidRPr="001A4F11" w14:paraId="38776692" w14:textId="77777777" w:rsidTr="00DC1EEE">
        <w:tc>
          <w:tcPr>
            <w:tcW w:w="2434" w:type="dxa"/>
            <w:shd w:val="clear" w:color="auto" w:fill="auto"/>
          </w:tcPr>
          <w:p w14:paraId="09001E8B" w14:textId="04DE77B0" w:rsidR="00DC1EEE" w:rsidRPr="00012F8B" w:rsidRDefault="00DC1EEE" w:rsidP="00B17EC5">
            <w:pPr>
              <w:spacing w:after="0"/>
              <w:rPr>
                <w:rFonts w:eastAsiaTheme="majorEastAsia" w:cs="Arial"/>
                <w:b/>
                <w:bCs/>
                <w:szCs w:val="20"/>
              </w:rPr>
            </w:pPr>
            <w:proofErr w:type="spellStart"/>
            <w:r w:rsidRPr="00012F8B">
              <w:rPr>
                <w:rFonts w:eastAsiaTheme="majorEastAsia" w:cs="Arial"/>
                <w:b/>
                <w:bCs/>
                <w:szCs w:val="20"/>
              </w:rPr>
              <w:t>Fixpacht</w:t>
            </w:r>
            <w:proofErr w:type="spellEnd"/>
          </w:p>
        </w:tc>
        <w:tc>
          <w:tcPr>
            <w:tcW w:w="9615" w:type="dxa"/>
            <w:shd w:val="clear" w:color="auto" w:fill="auto"/>
          </w:tcPr>
          <w:p w14:paraId="64A07610" w14:textId="2A79FBC2" w:rsidR="00DC1EEE" w:rsidRPr="001A4F11" w:rsidRDefault="00DC1EEE" w:rsidP="0012421C">
            <w:pPr>
              <w:spacing w:after="80"/>
              <w:jc w:val="both"/>
              <w:rPr>
                <w:rFonts w:eastAsiaTheme="majorEastAsia" w:cs="Arial"/>
                <w:szCs w:val="20"/>
              </w:rPr>
            </w:pPr>
            <w:r w:rsidRPr="00DC1EEE">
              <w:rPr>
                <w:rFonts w:eastAsiaTheme="majorEastAsia" w:cs="Arial"/>
                <w:szCs w:val="20"/>
              </w:rPr>
              <w:t xml:space="preserve">Die </w:t>
            </w:r>
            <w:proofErr w:type="spellStart"/>
            <w:r w:rsidRPr="00DC1EEE">
              <w:rPr>
                <w:rFonts w:eastAsiaTheme="majorEastAsia" w:cs="Arial"/>
                <w:szCs w:val="20"/>
              </w:rPr>
              <w:t>Fixpacht</w:t>
            </w:r>
            <w:proofErr w:type="spellEnd"/>
            <w:r w:rsidRPr="00DC1EEE">
              <w:rPr>
                <w:rFonts w:eastAsiaTheme="majorEastAsia" w:cs="Arial"/>
                <w:szCs w:val="20"/>
              </w:rPr>
              <w:t xml:space="preserve"> gilt für das gesamte pachtgegenständliche passive Netz pro </w:t>
            </w:r>
            <w:r w:rsidR="004B4ACB">
              <w:rPr>
                <w:rFonts w:eastAsiaTheme="majorEastAsia" w:cs="Arial"/>
                <w:szCs w:val="20"/>
              </w:rPr>
              <w:t>Monat</w:t>
            </w:r>
            <w:r w:rsidRPr="00DC1EEE">
              <w:rPr>
                <w:rFonts w:eastAsiaTheme="majorEastAsia" w:cs="Arial"/>
                <w:szCs w:val="20"/>
              </w:rPr>
              <w:t xml:space="preserve">, unabhängig von der Anzahl der vom Bieter hierüber aktiv versorgten Endkunden oder im Rahmen des Open Access an </w:t>
            </w:r>
            <w:proofErr w:type="spellStart"/>
            <w:r w:rsidRPr="00DC1EEE">
              <w:rPr>
                <w:rFonts w:eastAsiaTheme="majorEastAsia" w:cs="Arial"/>
                <w:szCs w:val="20"/>
              </w:rPr>
              <w:t>Drittcarrier</w:t>
            </w:r>
            <w:proofErr w:type="spellEnd"/>
            <w:r w:rsidRPr="00DC1EEE">
              <w:rPr>
                <w:rFonts w:eastAsiaTheme="majorEastAsia" w:cs="Arial"/>
                <w:szCs w:val="20"/>
              </w:rPr>
              <w:t xml:space="preserve"> bereitgestellter Vorleistungsprodukte</w:t>
            </w:r>
            <w:r>
              <w:rPr>
                <w:rFonts w:eastAsiaTheme="majorEastAsia" w:cs="Arial"/>
                <w:szCs w:val="20"/>
              </w:rPr>
              <w:t>.</w:t>
            </w:r>
          </w:p>
        </w:tc>
        <w:tc>
          <w:tcPr>
            <w:tcW w:w="1853" w:type="dxa"/>
            <w:shd w:val="clear" w:color="auto" w:fill="auto"/>
          </w:tcPr>
          <w:p w14:paraId="6CD20114" w14:textId="77777777" w:rsidR="00DC1EEE" w:rsidRPr="00555FF5" w:rsidRDefault="00DC1EEE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color w:val="FF0000"/>
                <w:szCs w:val="20"/>
              </w:rPr>
            </w:pPr>
          </w:p>
          <w:p w14:paraId="09B3216B" w14:textId="7B421CD4" w:rsidR="0012421C" w:rsidRPr="00555FF5" w:rsidRDefault="00DF1090" w:rsidP="00DF1090">
            <w:pPr>
              <w:spacing w:after="0"/>
              <w:jc w:val="center"/>
              <w:rPr>
                <w:rFonts w:eastAsiaTheme="majorEastAsia" w:cs="Arial"/>
                <w:b/>
                <w:bCs/>
                <w:color w:val="FF0000"/>
                <w:szCs w:val="20"/>
              </w:rPr>
            </w:pPr>
            <w:r w:rsidRPr="00555FF5">
              <w:rPr>
                <w:rFonts w:eastAsiaTheme="majorEastAsia" w:cs="Arial"/>
                <w:b/>
                <w:bCs/>
                <w:color w:val="FF0000"/>
                <w:szCs w:val="20"/>
              </w:rPr>
              <w:t xml:space="preserve">- entfällt - </w:t>
            </w:r>
          </w:p>
          <w:p w14:paraId="7ADE2D29" w14:textId="44DFF37F" w:rsidR="0012421C" w:rsidRPr="00012F8B" w:rsidRDefault="0012421C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</w:tc>
      </w:tr>
      <w:tr w:rsidR="00DC1EEE" w:rsidRPr="001A4F11" w14:paraId="3F105EA3" w14:textId="77777777" w:rsidTr="00DC1EEE">
        <w:tc>
          <w:tcPr>
            <w:tcW w:w="2434" w:type="dxa"/>
            <w:shd w:val="clear" w:color="auto" w:fill="auto"/>
          </w:tcPr>
          <w:p w14:paraId="57A6BF70" w14:textId="32BBB992" w:rsidR="00DC1EEE" w:rsidRPr="00012F8B" w:rsidRDefault="00DC1EEE" w:rsidP="00B17EC5">
            <w:pPr>
              <w:spacing w:after="0"/>
              <w:rPr>
                <w:rFonts w:eastAsiaTheme="majorEastAsia" w:cs="Arial"/>
                <w:b/>
                <w:bCs/>
                <w:szCs w:val="20"/>
              </w:rPr>
            </w:pPr>
            <w:r w:rsidRPr="00012F8B">
              <w:rPr>
                <w:b/>
                <w:bCs/>
              </w:rPr>
              <w:t xml:space="preserve">Pachtpreis je aktiv versorgter </w:t>
            </w:r>
            <w:r w:rsidR="001A4543">
              <w:rPr>
                <w:b/>
                <w:bCs/>
              </w:rPr>
              <w:t>Endkunde mit Produkten bis 200,- € netto / Monat</w:t>
            </w:r>
          </w:p>
        </w:tc>
        <w:tc>
          <w:tcPr>
            <w:tcW w:w="9615" w:type="dxa"/>
            <w:shd w:val="clear" w:color="auto" w:fill="auto"/>
          </w:tcPr>
          <w:p w14:paraId="001D453C" w14:textId="2B990AA3" w:rsidR="00DC1EEE" w:rsidRPr="00DC1EEE" w:rsidRDefault="00DC1EEE" w:rsidP="0012421C">
            <w:pPr>
              <w:spacing w:after="80"/>
              <w:jc w:val="both"/>
              <w:rPr>
                <w:rFonts w:eastAsiaTheme="majorEastAsia" w:cs="Arial"/>
                <w:szCs w:val="20"/>
              </w:rPr>
            </w:pPr>
            <w:r w:rsidRPr="00DC1EEE">
              <w:rPr>
                <w:rFonts w:eastAsiaTheme="majorEastAsia" w:cs="Arial"/>
                <w:szCs w:val="20"/>
              </w:rPr>
              <w:t>Der Pachtpreis je aktiv versorgter Privat</w:t>
            </w:r>
            <w:r w:rsidR="001A4543">
              <w:rPr>
                <w:rFonts w:eastAsiaTheme="majorEastAsia" w:cs="Arial"/>
                <w:szCs w:val="20"/>
              </w:rPr>
              <w:t>- oder Geschäfts</w:t>
            </w:r>
            <w:r w:rsidRPr="00DC1EEE">
              <w:rPr>
                <w:rFonts w:eastAsiaTheme="majorEastAsia" w:cs="Arial"/>
                <w:szCs w:val="20"/>
              </w:rPr>
              <w:t xml:space="preserve">kunde gilt monatlich und bezieht sich auf jeden vom Bieter selbst aktiv geschalteten </w:t>
            </w:r>
            <w:r w:rsidR="001A4543">
              <w:rPr>
                <w:rFonts w:eastAsiaTheme="majorEastAsia" w:cs="Arial"/>
                <w:szCs w:val="20"/>
              </w:rPr>
              <w:t xml:space="preserve">Endkundenanschluss </w:t>
            </w:r>
            <w:r w:rsidRPr="00DC1EEE">
              <w:rPr>
                <w:rFonts w:eastAsiaTheme="majorEastAsia" w:cs="Arial"/>
                <w:szCs w:val="20"/>
              </w:rPr>
              <w:t xml:space="preserve">der ausgeschriebenen Adressen. Er bezieht sich ausdrücklich nicht je beschalteter Faser, sondern fällt für jeden aktiven </w:t>
            </w:r>
            <w:r w:rsidR="001A4543">
              <w:rPr>
                <w:rFonts w:eastAsiaTheme="majorEastAsia" w:cs="Arial"/>
                <w:szCs w:val="20"/>
              </w:rPr>
              <w:t xml:space="preserve">Endkunden </w:t>
            </w:r>
            <w:r w:rsidRPr="00DC1EEE">
              <w:rPr>
                <w:rFonts w:eastAsiaTheme="majorEastAsia" w:cs="Arial"/>
                <w:szCs w:val="20"/>
              </w:rPr>
              <w:t xml:space="preserve">an, soweit z.B. über passive Splitter eine Faser mehrere </w:t>
            </w:r>
            <w:r w:rsidR="001A4543">
              <w:rPr>
                <w:rFonts w:eastAsiaTheme="majorEastAsia" w:cs="Arial"/>
                <w:szCs w:val="20"/>
              </w:rPr>
              <w:t>Endk</w:t>
            </w:r>
            <w:r w:rsidRPr="00DC1EEE">
              <w:rPr>
                <w:rFonts w:eastAsiaTheme="majorEastAsia" w:cs="Arial"/>
                <w:szCs w:val="20"/>
              </w:rPr>
              <w:t xml:space="preserve">unden eines Gebäudes </w:t>
            </w:r>
            <w:r w:rsidR="001A4543">
              <w:rPr>
                <w:rFonts w:eastAsiaTheme="majorEastAsia" w:cs="Arial"/>
                <w:szCs w:val="20"/>
              </w:rPr>
              <w:t>versorgt werden</w:t>
            </w:r>
            <w:r w:rsidRPr="00DC1EEE">
              <w:rPr>
                <w:rFonts w:eastAsiaTheme="majorEastAsia" w:cs="Arial"/>
                <w:szCs w:val="20"/>
              </w:rPr>
              <w:t>.</w:t>
            </w:r>
          </w:p>
          <w:p w14:paraId="0A64FA8E" w14:textId="5D9A7411" w:rsidR="00DC1EEE" w:rsidRPr="001A4F11" w:rsidRDefault="00DC1EEE" w:rsidP="0012421C">
            <w:pPr>
              <w:spacing w:after="80"/>
              <w:jc w:val="both"/>
              <w:rPr>
                <w:rFonts w:eastAsiaTheme="majorEastAsia" w:cs="Arial"/>
                <w:szCs w:val="20"/>
              </w:rPr>
            </w:pPr>
            <w:r w:rsidRPr="00DC1EEE">
              <w:rPr>
                <w:rFonts w:eastAsiaTheme="majorEastAsia" w:cs="Arial"/>
                <w:szCs w:val="20"/>
              </w:rPr>
              <w:t xml:space="preserve">Unter diese Abrechnung </w:t>
            </w:r>
            <w:r w:rsidR="001A4543">
              <w:rPr>
                <w:rFonts w:eastAsiaTheme="majorEastAsia" w:cs="Arial"/>
                <w:szCs w:val="20"/>
              </w:rPr>
              <w:t xml:space="preserve">fallen alle Telekommunikationsdienste </w:t>
            </w:r>
            <w:r w:rsidR="0009068A">
              <w:rPr>
                <w:rFonts w:eastAsiaTheme="majorEastAsia" w:cs="Arial"/>
                <w:szCs w:val="20"/>
              </w:rPr>
              <w:t>bis 200,- € netto / Monat, welche gegenüber einem Endkunden abgerechnet werden. Hierbei zählen nur die regelmäßigen**, monatlichen Preise.</w:t>
            </w:r>
          </w:p>
        </w:tc>
        <w:tc>
          <w:tcPr>
            <w:tcW w:w="1853" w:type="dxa"/>
            <w:shd w:val="clear" w:color="auto" w:fill="auto"/>
          </w:tcPr>
          <w:p w14:paraId="1CE3026C" w14:textId="77777777" w:rsidR="00DC1EEE" w:rsidRPr="00012F8B" w:rsidRDefault="00DC1EEE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05EB2122" w14:textId="08782A5B" w:rsidR="0012421C" w:rsidRPr="00012F8B" w:rsidRDefault="0012421C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04FDACFE" w14:textId="12E24E23" w:rsidR="00012F8B" w:rsidRPr="00012F8B" w:rsidRDefault="00012F8B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0EDC6198" w14:textId="3798C5A2" w:rsidR="00012F8B" w:rsidRPr="00012F8B" w:rsidRDefault="00012F8B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7AE2A147" w14:textId="77777777" w:rsidR="00012F8B" w:rsidRPr="00012F8B" w:rsidRDefault="00012F8B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5EECD766" w14:textId="2ECE7AD2" w:rsidR="0012421C" w:rsidRPr="00012F8B" w:rsidRDefault="0012421C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  <w:r w:rsidRPr="00012F8B">
              <w:rPr>
                <w:rFonts w:eastAsiaTheme="majorEastAsia" w:cs="Arial"/>
                <w:b/>
                <w:bCs/>
                <w:szCs w:val="20"/>
              </w:rPr>
              <w:t>___________ €</w:t>
            </w:r>
            <w:r w:rsidR="00012F8B">
              <w:rPr>
                <w:rFonts w:eastAsiaTheme="majorEastAsia" w:cs="Arial"/>
                <w:b/>
                <w:bCs/>
                <w:szCs w:val="20"/>
              </w:rPr>
              <w:t>*</w:t>
            </w:r>
          </w:p>
        </w:tc>
      </w:tr>
      <w:tr w:rsidR="00DC1EEE" w:rsidRPr="001A4F11" w14:paraId="4BBA4FB1" w14:textId="77777777" w:rsidTr="00DC1EEE">
        <w:tc>
          <w:tcPr>
            <w:tcW w:w="2434" w:type="dxa"/>
            <w:shd w:val="clear" w:color="auto" w:fill="auto"/>
          </w:tcPr>
          <w:p w14:paraId="720B7358" w14:textId="0C37D3E0" w:rsidR="00DC1EEE" w:rsidRPr="00012F8B" w:rsidRDefault="0009068A" w:rsidP="00B17EC5">
            <w:pPr>
              <w:spacing w:after="0"/>
              <w:rPr>
                <w:rFonts w:eastAsiaTheme="majorEastAsia" w:cs="Arial"/>
                <w:b/>
                <w:bCs/>
                <w:szCs w:val="20"/>
              </w:rPr>
            </w:pPr>
            <w:r w:rsidRPr="00012F8B">
              <w:rPr>
                <w:b/>
                <w:bCs/>
              </w:rPr>
              <w:t xml:space="preserve">Pachtpreis je aktiv versorgter </w:t>
            </w:r>
            <w:r>
              <w:rPr>
                <w:b/>
                <w:bCs/>
              </w:rPr>
              <w:t>Endkunde mit Produkten über 200,- € netto / Monat</w:t>
            </w:r>
          </w:p>
        </w:tc>
        <w:tc>
          <w:tcPr>
            <w:tcW w:w="9615" w:type="dxa"/>
            <w:shd w:val="clear" w:color="auto" w:fill="auto"/>
          </w:tcPr>
          <w:p w14:paraId="7B4DEBA7" w14:textId="77777777" w:rsidR="0009068A" w:rsidRPr="00DC1EEE" w:rsidRDefault="0009068A" w:rsidP="0009068A">
            <w:pPr>
              <w:spacing w:after="80"/>
              <w:jc w:val="both"/>
              <w:rPr>
                <w:rFonts w:eastAsiaTheme="majorEastAsia" w:cs="Arial"/>
                <w:szCs w:val="20"/>
              </w:rPr>
            </w:pPr>
            <w:r w:rsidRPr="00DC1EEE">
              <w:rPr>
                <w:rFonts w:eastAsiaTheme="majorEastAsia" w:cs="Arial"/>
                <w:szCs w:val="20"/>
              </w:rPr>
              <w:t>Der Pachtpreis je aktiv versorgter Privat</w:t>
            </w:r>
            <w:r>
              <w:rPr>
                <w:rFonts w:eastAsiaTheme="majorEastAsia" w:cs="Arial"/>
                <w:szCs w:val="20"/>
              </w:rPr>
              <w:t>- oder Geschäfts</w:t>
            </w:r>
            <w:r w:rsidRPr="00DC1EEE">
              <w:rPr>
                <w:rFonts w:eastAsiaTheme="majorEastAsia" w:cs="Arial"/>
                <w:szCs w:val="20"/>
              </w:rPr>
              <w:t xml:space="preserve">kunde gilt monatlich und bezieht sich auf jeden vom Bieter selbst aktiv geschalteten </w:t>
            </w:r>
            <w:r>
              <w:rPr>
                <w:rFonts w:eastAsiaTheme="majorEastAsia" w:cs="Arial"/>
                <w:szCs w:val="20"/>
              </w:rPr>
              <w:t xml:space="preserve">Endkundenanschluss </w:t>
            </w:r>
            <w:r w:rsidRPr="00DC1EEE">
              <w:rPr>
                <w:rFonts w:eastAsiaTheme="majorEastAsia" w:cs="Arial"/>
                <w:szCs w:val="20"/>
              </w:rPr>
              <w:t xml:space="preserve">der ausgeschriebenen Adressen. Er bezieht sich ausdrücklich nicht je beschalteter Faser, sondern fällt für jeden aktiven </w:t>
            </w:r>
            <w:r>
              <w:rPr>
                <w:rFonts w:eastAsiaTheme="majorEastAsia" w:cs="Arial"/>
                <w:szCs w:val="20"/>
              </w:rPr>
              <w:t xml:space="preserve">Endkunden </w:t>
            </w:r>
            <w:r w:rsidRPr="00DC1EEE">
              <w:rPr>
                <w:rFonts w:eastAsiaTheme="majorEastAsia" w:cs="Arial"/>
                <w:szCs w:val="20"/>
              </w:rPr>
              <w:t xml:space="preserve">an, soweit z.B. über passive Splitter eine Faser mehrere </w:t>
            </w:r>
            <w:r>
              <w:rPr>
                <w:rFonts w:eastAsiaTheme="majorEastAsia" w:cs="Arial"/>
                <w:szCs w:val="20"/>
              </w:rPr>
              <w:t>Endk</w:t>
            </w:r>
            <w:r w:rsidRPr="00DC1EEE">
              <w:rPr>
                <w:rFonts w:eastAsiaTheme="majorEastAsia" w:cs="Arial"/>
                <w:szCs w:val="20"/>
              </w:rPr>
              <w:t xml:space="preserve">unden eines Gebäudes </w:t>
            </w:r>
            <w:r>
              <w:rPr>
                <w:rFonts w:eastAsiaTheme="majorEastAsia" w:cs="Arial"/>
                <w:szCs w:val="20"/>
              </w:rPr>
              <w:t>versorgt werden</w:t>
            </w:r>
            <w:r w:rsidRPr="00DC1EEE">
              <w:rPr>
                <w:rFonts w:eastAsiaTheme="majorEastAsia" w:cs="Arial"/>
                <w:szCs w:val="20"/>
              </w:rPr>
              <w:t>.</w:t>
            </w:r>
          </w:p>
          <w:p w14:paraId="5BC1118E" w14:textId="4DB70647" w:rsidR="00DC1EEE" w:rsidRPr="00DC1EEE" w:rsidRDefault="0009068A" w:rsidP="0009068A">
            <w:pPr>
              <w:spacing w:after="80"/>
              <w:jc w:val="both"/>
              <w:rPr>
                <w:rFonts w:eastAsiaTheme="majorEastAsia" w:cs="Arial"/>
                <w:bCs/>
                <w:szCs w:val="20"/>
              </w:rPr>
            </w:pPr>
            <w:r w:rsidRPr="00DC1EEE">
              <w:rPr>
                <w:rFonts w:eastAsiaTheme="majorEastAsia" w:cs="Arial"/>
                <w:szCs w:val="20"/>
              </w:rPr>
              <w:t xml:space="preserve">Unter diese Abrechnung </w:t>
            </w:r>
            <w:r>
              <w:rPr>
                <w:rFonts w:eastAsiaTheme="majorEastAsia" w:cs="Arial"/>
                <w:szCs w:val="20"/>
              </w:rPr>
              <w:t>fallen alle Telekommunikationsdienste über 200,- € netto / Monat, welche gegenüber einem Endkunden abgerechnet werden. Hierbei zählen nur die regelmäßigen**, monatlichen Preise.</w:t>
            </w:r>
          </w:p>
        </w:tc>
        <w:tc>
          <w:tcPr>
            <w:tcW w:w="1853" w:type="dxa"/>
            <w:shd w:val="clear" w:color="auto" w:fill="auto"/>
          </w:tcPr>
          <w:p w14:paraId="6533C914" w14:textId="77777777" w:rsidR="00DC1EEE" w:rsidRPr="00012F8B" w:rsidRDefault="00DC1EEE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224C4AAF" w14:textId="6352214B" w:rsidR="0012421C" w:rsidRPr="00012F8B" w:rsidRDefault="0012421C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60D427DD" w14:textId="460A3F86" w:rsidR="00012F8B" w:rsidRPr="00012F8B" w:rsidRDefault="00012F8B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665DC4AB" w14:textId="364EB155" w:rsidR="00012F8B" w:rsidRPr="00012F8B" w:rsidRDefault="00012F8B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03F5E239" w14:textId="0AF45E1B" w:rsidR="00012F8B" w:rsidRPr="00012F8B" w:rsidRDefault="00012F8B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5BCAEA87" w14:textId="77777777" w:rsidR="00012F8B" w:rsidRPr="00012F8B" w:rsidRDefault="00012F8B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18CB564C" w14:textId="574936F7" w:rsidR="0012421C" w:rsidRPr="00012F8B" w:rsidRDefault="0012421C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  <w:r w:rsidRPr="00012F8B">
              <w:rPr>
                <w:rFonts w:eastAsiaTheme="majorEastAsia" w:cs="Arial"/>
                <w:b/>
                <w:bCs/>
                <w:szCs w:val="20"/>
              </w:rPr>
              <w:t>___________ €</w:t>
            </w:r>
            <w:r w:rsidR="00012F8B">
              <w:rPr>
                <w:rFonts w:eastAsiaTheme="majorEastAsia" w:cs="Arial"/>
                <w:b/>
                <w:bCs/>
                <w:szCs w:val="20"/>
              </w:rPr>
              <w:t>*</w:t>
            </w:r>
          </w:p>
        </w:tc>
      </w:tr>
      <w:tr w:rsidR="00DC1EEE" w:rsidRPr="001A4F11" w14:paraId="6F6382AF" w14:textId="77777777" w:rsidTr="00DC1EEE">
        <w:tc>
          <w:tcPr>
            <w:tcW w:w="2434" w:type="dxa"/>
            <w:shd w:val="clear" w:color="auto" w:fill="auto"/>
          </w:tcPr>
          <w:p w14:paraId="459007FA" w14:textId="4B519630" w:rsidR="00DC1EEE" w:rsidRPr="00012F8B" w:rsidRDefault="00DC1EEE" w:rsidP="00B17EC5">
            <w:pPr>
              <w:spacing w:after="0"/>
              <w:rPr>
                <w:rFonts w:eastAsiaTheme="majorEastAsia" w:cs="Arial"/>
                <w:b/>
                <w:bCs/>
                <w:szCs w:val="20"/>
              </w:rPr>
            </w:pPr>
            <w:r w:rsidRPr="00012F8B">
              <w:rPr>
                <w:rFonts w:eastAsiaTheme="majorEastAsia" w:cs="Arial"/>
                <w:b/>
                <w:bCs/>
                <w:szCs w:val="20"/>
              </w:rPr>
              <w:t>Pachtpreis Vor</w:t>
            </w:r>
            <w:r w:rsidR="00012F8B">
              <w:rPr>
                <w:rFonts w:eastAsiaTheme="majorEastAsia" w:cs="Arial"/>
                <w:b/>
                <w:bCs/>
                <w:szCs w:val="20"/>
              </w:rPr>
              <w:t>-</w:t>
            </w:r>
            <w:proofErr w:type="spellStart"/>
            <w:r w:rsidRPr="00012F8B">
              <w:rPr>
                <w:rFonts w:eastAsiaTheme="majorEastAsia" w:cs="Arial"/>
                <w:b/>
                <w:bCs/>
                <w:szCs w:val="20"/>
              </w:rPr>
              <w:t>leistungsprodukt</w:t>
            </w:r>
            <w:proofErr w:type="spellEnd"/>
            <w:r w:rsidRPr="00012F8B">
              <w:rPr>
                <w:rFonts w:eastAsiaTheme="majorEastAsia" w:cs="Arial"/>
                <w:b/>
                <w:bCs/>
                <w:szCs w:val="20"/>
              </w:rPr>
              <w:t xml:space="preserve"> zur Endkundenversorgung (Open Access)</w:t>
            </w:r>
            <w:r w:rsidR="004B4ACB">
              <w:rPr>
                <w:rFonts w:eastAsiaTheme="majorEastAsia" w:cs="Arial"/>
                <w:b/>
                <w:bCs/>
                <w:szCs w:val="20"/>
              </w:rPr>
              <w:t xml:space="preserve"> / Monat </w:t>
            </w:r>
          </w:p>
        </w:tc>
        <w:tc>
          <w:tcPr>
            <w:tcW w:w="9615" w:type="dxa"/>
            <w:shd w:val="clear" w:color="auto" w:fill="auto"/>
          </w:tcPr>
          <w:p w14:paraId="133F6E31" w14:textId="5E9C660B" w:rsidR="00DC1EEE" w:rsidRPr="001A4F11" w:rsidRDefault="00DC1EEE" w:rsidP="0012421C">
            <w:pPr>
              <w:spacing w:after="80"/>
              <w:jc w:val="both"/>
              <w:rPr>
                <w:rFonts w:eastAsiaTheme="majorEastAsia" w:cs="Arial"/>
                <w:szCs w:val="20"/>
              </w:rPr>
            </w:pPr>
            <w:r w:rsidRPr="00DC1EEE">
              <w:rPr>
                <w:rFonts w:eastAsiaTheme="majorEastAsia" w:cs="Arial"/>
                <w:szCs w:val="20"/>
              </w:rPr>
              <w:t xml:space="preserve">Der Pachtpreis für die auf Basis des Open Access an </w:t>
            </w:r>
            <w:proofErr w:type="spellStart"/>
            <w:r w:rsidRPr="00DC1EEE">
              <w:rPr>
                <w:rFonts w:eastAsiaTheme="majorEastAsia" w:cs="Arial"/>
                <w:szCs w:val="20"/>
              </w:rPr>
              <w:t>Drittcarrier</w:t>
            </w:r>
            <w:proofErr w:type="spellEnd"/>
            <w:r w:rsidRPr="00DC1EEE">
              <w:rPr>
                <w:rFonts w:eastAsiaTheme="majorEastAsia" w:cs="Arial"/>
                <w:szCs w:val="20"/>
              </w:rPr>
              <w:t xml:space="preserve"> bereitgestellten Vorleistungsprodukte zur Endkundenversorgung gilt monatlich. Er bezieht sich auf jede vom Bieter an </w:t>
            </w:r>
            <w:proofErr w:type="spellStart"/>
            <w:r w:rsidRPr="00DC1EEE">
              <w:rPr>
                <w:rFonts w:eastAsiaTheme="majorEastAsia" w:cs="Arial"/>
                <w:szCs w:val="20"/>
              </w:rPr>
              <w:t>Drittcarrier</w:t>
            </w:r>
            <w:proofErr w:type="spellEnd"/>
            <w:r w:rsidRPr="00DC1EEE">
              <w:rPr>
                <w:rFonts w:eastAsiaTheme="majorEastAsia" w:cs="Arial"/>
                <w:szCs w:val="20"/>
              </w:rPr>
              <w:t xml:space="preserve"> im Rahmen des Open Access bereitgestellten Endkunden-Glasfaseranbindung oder ein Vorleistungsprodukt hierüber (Layer 2) zu einer der ausgeschriebenen Adressen des Erschließungsgebietes. </w:t>
            </w:r>
          </w:p>
        </w:tc>
        <w:tc>
          <w:tcPr>
            <w:tcW w:w="1853" w:type="dxa"/>
            <w:shd w:val="clear" w:color="auto" w:fill="auto"/>
          </w:tcPr>
          <w:p w14:paraId="4743742F" w14:textId="12942A24" w:rsidR="00DC1EEE" w:rsidRPr="00012F8B" w:rsidRDefault="00DC1EEE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59216C89" w14:textId="724DAC38" w:rsidR="00012F8B" w:rsidRPr="00012F8B" w:rsidRDefault="00012F8B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301E3EBA" w14:textId="77777777" w:rsidR="0012421C" w:rsidRPr="00012F8B" w:rsidRDefault="0012421C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03730A6C" w14:textId="7157FB1B" w:rsidR="0012421C" w:rsidRPr="00012F8B" w:rsidRDefault="0012421C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  <w:r w:rsidRPr="00012F8B">
              <w:rPr>
                <w:rFonts w:eastAsiaTheme="majorEastAsia" w:cs="Arial"/>
                <w:b/>
                <w:bCs/>
                <w:szCs w:val="20"/>
              </w:rPr>
              <w:t>___________ €</w:t>
            </w:r>
            <w:r w:rsidR="00012F8B">
              <w:rPr>
                <w:rFonts w:eastAsiaTheme="majorEastAsia" w:cs="Arial"/>
                <w:b/>
                <w:bCs/>
                <w:szCs w:val="20"/>
              </w:rPr>
              <w:t>*</w:t>
            </w:r>
          </w:p>
        </w:tc>
      </w:tr>
      <w:tr w:rsidR="00DC1EEE" w:rsidRPr="001A4F11" w14:paraId="3BFCD1E6" w14:textId="77777777" w:rsidTr="00DC1EEE">
        <w:tc>
          <w:tcPr>
            <w:tcW w:w="2434" w:type="dxa"/>
            <w:shd w:val="clear" w:color="auto" w:fill="auto"/>
          </w:tcPr>
          <w:p w14:paraId="57996F48" w14:textId="23BA8870" w:rsidR="00DC1EEE" w:rsidRPr="00012F8B" w:rsidRDefault="00DC1EEE" w:rsidP="00B17EC5">
            <w:pPr>
              <w:spacing w:after="0"/>
              <w:rPr>
                <w:rFonts w:eastAsiaTheme="majorEastAsia" w:cs="Arial"/>
                <w:b/>
                <w:bCs/>
                <w:szCs w:val="20"/>
              </w:rPr>
            </w:pPr>
            <w:r w:rsidRPr="00012F8B">
              <w:rPr>
                <w:rFonts w:eastAsiaTheme="majorEastAsia" w:cs="Arial"/>
                <w:b/>
                <w:bCs/>
                <w:szCs w:val="20"/>
              </w:rPr>
              <w:t>Pachtpreis für weitergehende Netznutzung des Bieters</w:t>
            </w:r>
            <w:r w:rsidR="004B4ACB">
              <w:rPr>
                <w:rFonts w:eastAsiaTheme="majorEastAsia" w:cs="Arial"/>
                <w:b/>
                <w:bCs/>
                <w:szCs w:val="20"/>
              </w:rPr>
              <w:t xml:space="preserve"> / </w:t>
            </w:r>
            <w:r w:rsidR="00F258EB">
              <w:rPr>
                <w:rFonts w:eastAsiaTheme="majorEastAsia" w:cs="Arial"/>
                <w:b/>
                <w:bCs/>
                <w:szCs w:val="20"/>
              </w:rPr>
              <w:t xml:space="preserve">Meter / </w:t>
            </w:r>
            <w:r w:rsidR="004B4ACB">
              <w:rPr>
                <w:rFonts w:eastAsiaTheme="majorEastAsia" w:cs="Arial"/>
                <w:b/>
                <w:bCs/>
                <w:szCs w:val="20"/>
              </w:rPr>
              <w:t xml:space="preserve">Monat </w:t>
            </w:r>
          </w:p>
        </w:tc>
        <w:tc>
          <w:tcPr>
            <w:tcW w:w="9615" w:type="dxa"/>
            <w:shd w:val="clear" w:color="auto" w:fill="auto"/>
          </w:tcPr>
          <w:p w14:paraId="4104A14D" w14:textId="77777777" w:rsidR="00DC1EEE" w:rsidRDefault="00DC1EEE" w:rsidP="0012421C">
            <w:pPr>
              <w:spacing w:after="80"/>
              <w:jc w:val="both"/>
              <w:rPr>
                <w:rFonts w:eastAsiaTheme="majorEastAsia" w:cs="Arial"/>
                <w:szCs w:val="20"/>
              </w:rPr>
            </w:pPr>
            <w:r w:rsidRPr="00DC1EEE">
              <w:rPr>
                <w:rFonts w:eastAsiaTheme="majorEastAsia" w:cs="Arial"/>
                <w:szCs w:val="20"/>
              </w:rPr>
              <w:t>Der Pachtpreis für die weitergehende</w:t>
            </w:r>
            <w:r w:rsidR="004B4ACB">
              <w:rPr>
                <w:rFonts w:eastAsiaTheme="majorEastAsia" w:cs="Arial"/>
                <w:szCs w:val="20"/>
              </w:rPr>
              <w:t xml:space="preserve"> </w:t>
            </w:r>
            <w:r w:rsidRPr="00DC1EEE">
              <w:rPr>
                <w:rFonts w:eastAsiaTheme="majorEastAsia" w:cs="Arial"/>
                <w:szCs w:val="20"/>
              </w:rPr>
              <w:t xml:space="preserve">Netznutzung durch den Bieter (z.B. von Dark Fiber, Microrohren oder </w:t>
            </w:r>
            <w:proofErr w:type="spellStart"/>
            <w:r w:rsidRPr="00DC1EEE">
              <w:rPr>
                <w:rFonts w:eastAsiaTheme="majorEastAsia" w:cs="Arial"/>
                <w:szCs w:val="20"/>
              </w:rPr>
              <w:t>Ductspace</w:t>
            </w:r>
            <w:proofErr w:type="spellEnd"/>
            <w:r w:rsidRPr="00DC1EEE">
              <w:rPr>
                <w:rFonts w:eastAsiaTheme="majorEastAsia" w:cs="Arial"/>
                <w:szCs w:val="20"/>
              </w:rPr>
              <w:t xml:space="preserve">) gilt monatlich und bezieht sich auf eine -zu den oben genannten Definitionen hinausgehende Netznutzung- wie z.B. der eigenen oder im Rahmen des Open Access </w:t>
            </w:r>
            <w:proofErr w:type="spellStart"/>
            <w:r w:rsidRPr="00DC1EEE">
              <w:rPr>
                <w:rFonts w:eastAsiaTheme="majorEastAsia" w:cs="Arial"/>
                <w:szCs w:val="20"/>
              </w:rPr>
              <w:t>Drittcarriern</w:t>
            </w:r>
            <w:proofErr w:type="spellEnd"/>
            <w:r w:rsidRPr="00DC1EEE">
              <w:rPr>
                <w:rFonts w:eastAsiaTheme="majorEastAsia" w:cs="Arial"/>
                <w:szCs w:val="20"/>
              </w:rPr>
              <w:t xml:space="preserve"> bereitgestellte Dark Fiber-, Microrohr- oder </w:t>
            </w:r>
            <w:proofErr w:type="spellStart"/>
            <w:r w:rsidRPr="00DC1EEE">
              <w:rPr>
                <w:rFonts w:eastAsiaTheme="majorEastAsia" w:cs="Arial"/>
                <w:szCs w:val="20"/>
              </w:rPr>
              <w:t>Ductspacenutzung</w:t>
            </w:r>
            <w:proofErr w:type="spellEnd"/>
            <w:r w:rsidRPr="00DC1EEE">
              <w:rPr>
                <w:rFonts w:eastAsiaTheme="majorEastAsia" w:cs="Arial"/>
                <w:szCs w:val="20"/>
              </w:rPr>
              <w:t xml:space="preserve"> für Anbindungen oder </w:t>
            </w:r>
            <w:r w:rsidR="00774D01">
              <w:rPr>
                <w:rFonts w:eastAsiaTheme="majorEastAsia" w:cs="Arial"/>
                <w:szCs w:val="20"/>
              </w:rPr>
              <w:t>Endkundenv</w:t>
            </w:r>
            <w:r w:rsidRPr="00DC1EEE">
              <w:rPr>
                <w:rFonts w:eastAsiaTheme="majorEastAsia" w:cs="Arial"/>
                <w:szCs w:val="20"/>
              </w:rPr>
              <w:t>ersorgung.</w:t>
            </w:r>
          </w:p>
          <w:p w14:paraId="0A294EA7" w14:textId="3478E9A8" w:rsidR="004B4ACB" w:rsidRPr="001A4F11" w:rsidRDefault="004B4ACB" w:rsidP="0012421C">
            <w:pPr>
              <w:spacing w:after="80"/>
              <w:jc w:val="both"/>
              <w:rPr>
                <w:rFonts w:eastAsiaTheme="majorEastAsia" w:cs="Arial"/>
                <w:szCs w:val="20"/>
              </w:rPr>
            </w:pPr>
            <w:r>
              <w:rPr>
                <w:rFonts w:eastAsiaTheme="majorEastAsia" w:cs="Arial"/>
                <w:szCs w:val="20"/>
              </w:rPr>
              <w:t>Der Preis ist in € pro Meter anzugeben.</w:t>
            </w:r>
          </w:p>
        </w:tc>
        <w:tc>
          <w:tcPr>
            <w:tcW w:w="1853" w:type="dxa"/>
            <w:shd w:val="clear" w:color="auto" w:fill="auto"/>
          </w:tcPr>
          <w:p w14:paraId="7C4B8792" w14:textId="486635E7" w:rsidR="00DC1EEE" w:rsidRPr="00012F8B" w:rsidRDefault="00DC1EEE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142EB577" w14:textId="5EF441D6" w:rsidR="00012F8B" w:rsidRPr="00012F8B" w:rsidRDefault="00012F8B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5B8EA401" w14:textId="0A369E79" w:rsidR="00012F8B" w:rsidRPr="00012F8B" w:rsidRDefault="00012F8B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07B9AC8C" w14:textId="77777777" w:rsidR="00012F8B" w:rsidRPr="00012F8B" w:rsidRDefault="00012F8B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</w:p>
          <w:p w14:paraId="6DBB0D5E" w14:textId="08F9DB2B" w:rsidR="0012421C" w:rsidRPr="00012F8B" w:rsidRDefault="0012421C" w:rsidP="00B17EC5">
            <w:pPr>
              <w:spacing w:after="0"/>
              <w:jc w:val="center"/>
              <w:rPr>
                <w:rFonts w:eastAsiaTheme="majorEastAsia" w:cs="Arial"/>
                <w:b/>
                <w:bCs/>
                <w:szCs w:val="20"/>
              </w:rPr>
            </w:pPr>
            <w:r w:rsidRPr="00012F8B">
              <w:rPr>
                <w:rFonts w:eastAsiaTheme="majorEastAsia" w:cs="Arial"/>
                <w:b/>
                <w:bCs/>
                <w:szCs w:val="20"/>
              </w:rPr>
              <w:t>__________</w:t>
            </w:r>
            <w:r w:rsidR="004B4ACB">
              <w:rPr>
                <w:rFonts w:eastAsiaTheme="majorEastAsia" w:cs="Arial"/>
                <w:b/>
                <w:bCs/>
                <w:szCs w:val="20"/>
              </w:rPr>
              <w:t xml:space="preserve"> / m </w:t>
            </w:r>
            <w:r w:rsidR="00012F8B">
              <w:rPr>
                <w:rFonts w:eastAsiaTheme="majorEastAsia" w:cs="Arial"/>
                <w:b/>
                <w:bCs/>
                <w:szCs w:val="20"/>
              </w:rPr>
              <w:t>*</w:t>
            </w:r>
          </w:p>
        </w:tc>
      </w:tr>
    </w:tbl>
    <w:p w14:paraId="39F9FD98" w14:textId="48422156" w:rsidR="00AC70AB" w:rsidRDefault="00012F8B" w:rsidP="00DC1EEE">
      <w:pPr>
        <w:rPr>
          <w:sz w:val="16"/>
          <w:szCs w:val="16"/>
        </w:rPr>
      </w:pPr>
      <w:r w:rsidRPr="00012F8B">
        <w:rPr>
          <w:sz w:val="16"/>
          <w:szCs w:val="16"/>
        </w:rPr>
        <w:t>* Alle Preise Netto zzgl. der jeweils geltenden gesetzlichen MwSt.</w:t>
      </w:r>
    </w:p>
    <w:p w14:paraId="2C05A986" w14:textId="3E3FF96F" w:rsidR="0009068A" w:rsidRPr="004B4ACB" w:rsidRDefault="0009068A" w:rsidP="00DC1EEE">
      <w:pPr>
        <w:rPr>
          <w:sz w:val="16"/>
          <w:szCs w:val="16"/>
        </w:rPr>
      </w:pPr>
      <w:r w:rsidRPr="004B4ACB">
        <w:rPr>
          <w:sz w:val="16"/>
          <w:szCs w:val="16"/>
        </w:rPr>
        <w:t>*</w:t>
      </w:r>
      <w:proofErr w:type="gramStart"/>
      <w:r w:rsidRPr="004B4ACB">
        <w:rPr>
          <w:sz w:val="16"/>
          <w:szCs w:val="16"/>
        </w:rPr>
        <w:t xml:space="preserve">* </w:t>
      </w:r>
      <w:r w:rsidRPr="004B4ACB">
        <w:rPr>
          <w:rFonts w:eastAsiaTheme="majorEastAsia" w:cs="Arial"/>
          <w:bCs/>
          <w:sz w:val="16"/>
          <w:szCs w:val="16"/>
        </w:rPr>
        <w:t xml:space="preserve"> Beim</w:t>
      </w:r>
      <w:proofErr w:type="gramEnd"/>
      <w:r w:rsidRPr="004B4ACB">
        <w:rPr>
          <w:rFonts w:eastAsiaTheme="majorEastAsia" w:cs="Arial"/>
          <w:bCs/>
          <w:sz w:val="16"/>
          <w:szCs w:val="16"/>
        </w:rPr>
        <w:t xml:space="preserve"> der Einordnung des maßgeblichen Preises werden Einmalkosten wie einmalige Bereitstellungsgebühr, </w:t>
      </w:r>
      <w:proofErr w:type="spellStart"/>
      <w:r w:rsidRPr="004B4ACB">
        <w:rPr>
          <w:rFonts w:eastAsiaTheme="majorEastAsia" w:cs="Arial"/>
          <w:bCs/>
          <w:sz w:val="16"/>
          <w:szCs w:val="16"/>
        </w:rPr>
        <w:t>Routerkaufpreis</w:t>
      </w:r>
      <w:proofErr w:type="spellEnd"/>
      <w:r w:rsidRPr="004B4ACB">
        <w:rPr>
          <w:rFonts w:eastAsiaTheme="majorEastAsia" w:cs="Arial"/>
          <w:bCs/>
          <w:sz w:val="16"/>
          <w:szCs w:val="16"/>
        </w:rPr>
        <w:t xml:space="preserve"> oder Implementierungsentgelte ebenso wie Rabattierungen nicht berücksichtigt.</w:t>
      </w:r>
    </w:p>
    <w:sectPr w:rsidR="0009068A" w:rsidRPr="004B4ACB" w:rsidSect="00DC1EEE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703E" w14:textId="77777777" w:rsidR="0012421C" w:rsidRDefault="0012421C" w:rsidP="0012421C">
      <w:pPr>
        <w:spacing w:after="0"/>
      </w:pPr>
      <w:r>
        <w:separator/>
      </w:r>
    </w:p>
  </w:endnote>
  <w:endnote w:type="continuationSeparator" w:id="0">
    <w:p w14:paraId="589EC549" w14:textId="77777777" w:rsidR="0012421C" w:rsidRDefault="0012421C" w:rsidP="00124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0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9357"/>
    </w:tblGrid>
    <w:tr w:rsidR="0012421C" w14:paraId="693F13E3" w14:textId="77777777" w:rsidTr="0012421C">
      <w:trPr>
        <w:trHeight w:val="567"/>
      </w:trPr>
      <w:tc>
        <w:tcPr>
          <w:tcW w:w="4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89DB297" w14:textId="3CAE1881" w:rsidR="0012421C" w:rsidRDefault="0012421C" w:rsidP="0012421C">
          <w:pPr>
            <w:pStyle w:val="Fuzeile"/>
          </w:pPr>
          <w:r>
            <w:t xml:space="preserve">Stand Vordruck: </w:t>
          </w:r>
          <w:r w:rsidR="0068751F">
            <w:t>02</w:t>
          </w:r>
          <w:r>
            <w:t>.0</w:t>
          </w:r>
          <w:r w:rsidR="0068751F">
            <w:t>2</w:t>
          </w:r>
          <w:r>
            <w:t>.2022</w:t>
          </w:r>
        </w:p>
      </w:tc>
      <w:tc>
        <w:tcPr>
          <w:tcW w:w="935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D923CC" w14:textId="77777777" w:rsidR="0012421C" w:rsidRDefault="0012421C" w:rsidP="0012421C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0E58E131" w14:textId="77777777" w:rsidR="0012421C" w:rsidRDefault="001242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A11A" w14:textId="77777777" w:rsidR="0012421C" w:rsidRDefault="0012421C" w:rsidP="0012421C">
      <w:pPr>
        <w:spacing w:after="0"/>
      </w:pPr>
      <w:r>
        <w:separator/>
      </w:r>
    </w:p>
  </w:footnote>
  <w:footnote w:type="continuationSeparator" w:id="0">
    <w:p w14:paraId="1474EC2A" w14:textId="77777777" w:rsidR="0012421C" w:rsidRDefault="0012421C" w:rsidP="001242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0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6379"/>
    </w:tblGrid>
    <w:tr w:rsidR="0012421C" w14:paraId="687CEED0" w14:textId="77777777" w:rsidTr="0012421C">
      <w:trPr>
        <w:trHeight w:val="283"/>
      </w:trPr>
      <w:tc>
        <w:tcPr>
          <w:tcW w:w="750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  <w:hideMark/>
        </w:tcPr>
        <w:p w14:paraId="1C060ED0" w14:textId="78E8E248" w:rsidR="0012421C" w:rsidRDefault="0012421C" w:rsidP="0012421C">
          <w:pPr>
            <w:pStyle w:val="Kopfzeile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G</w:t>
          </w:r>
          <w:r w:rsidR="00866030">
            <w:rPr>
              <w:rFonts w:cs="Arial"/>
              <w:szCs w:val="20"/>
            </w:rPr>
            <w:t>emeinde</w:t>
          </w:r>
          <w:r w:rsidR="00DF1090">
            <w:rPr>
              <w:rFonts w:cs="Arial"/>
              <w:szCs w:val="20"/>
            </w:rPr>
            <w:t xml:space="preserve"> </w:t>
          </w:r>
          <w:proofErr w:type="spellStart"/>
          <w:r w:rsidR="004D0881">
            <w:rPr>
              <w:rFonts w:cs="Arial"/>
              <w:szCs w:val="20"/>
            </w:rPr>
            <w:t>Langenmosen</w:t>
          </w:r>
          <w:proofErr w:type="spellEnd"/>
          <w:r w:rsidR="00DF1090">
            <w:rPr>
              <w:rFonts w:cs="Arial"/>
              <w:szCs w:val="20"/>
            </w:rPr>
            <w:t xml:space="preserve"> </w:t>
          </w:r>
        </w:p>
      </w:tc>
      <w:tc>
        <w:tcPr>
          <w:tcW w:w="637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14:paraId="2F72F710" w14:textId="32BD82C1" w:rsidR="0012421C" w:rsidRDefault="004D0881" w:rsidP="0012421C">
          <w:pPr>
            <w:pStyle w:val="Kopfzeile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25</w:t>
          </w:r>
          <w:r w:rsidR="00866030">
            <w:rPr>
              <w:rFonts w:cs="Arial"/>
              <w:szCs w:val="20"/>
            </w:rPr>
            <w:t>.02.2022</w:t>
          </w:r>
        </w:p>
      </w:tc>
    </w:tr>
    <w:tr w:rsidR="0012421C" w14:paraId="66FC18D3" w14:textId="77777777" w:rsidTr="0012421C">
      <w:trPr>
        <w:trHeight w:val="283"/>
      </w:trPr>
      <w:tc>
        <w:tcPr>
          <w:tcW w:w="750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BE27EC7" w14:textId="49083175" w:rsidR="0012421C" w:rsidRDefault="0012421C" w:rsidP="0012421C">
          <w:pPr>
            <w:pStyle w:val="Kopfzeile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Pachtpreistabelle </w:t>
          </w:r>
        </w:p>
      </w:tc>
      <w:tc>
        <w:tcPr>
          <w:tcW w:w="637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64A45" w14:textId="7A09D82B" w:rsidR="0012421C" w:rsidRDefault="00943AF6" w:rsidP="0012421C">
          <w:pPr>
            <w:pStyle w:val="Kopfzeile"/>
            <w:jc w:val="right"/>
            <w:rPr>
              <w:rFonts w:cs="Arial"/>
              <w:szCs w:val="20"/>
            </w:rPr>
          </w:pPr>
          <w:r w:rsidRPr="005D0FF7">
            <w:rPr>
              <w:rFonts w:cs="Arial"/>
              <w:szCs w:val="20"/>
            </w:rPr>
            <w:t>LANGENMOSEN</w:t>
          </w:r>
          <w:r w:rsidR="005D0FF7" w:rsidRPr="005D0FF7">
            <w:rPr>
              <w:rFonts w:cs="Arial"/>
              <w:szCs w:val="20"/>
            </w:rPr>
            <w:t>04</w:t>
          </w:r>
        </w:p>
      </w:tc>
    </w:tr>
  </w:tbl>
  <w:p w14:paraId="0D2E55E0" w14:textId="77777777" w:rsidR="0012421C" w:rsidRDefault="00124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EE8"/>
    <w:multiLevelType w:val="hybridMultilevel"/>
    <w:tmpl w:val="E53AA720"/>
    <w:lvl w:ilvl="0" w:tplc="0A0A8FF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E85"/>
    <w:multiLevelType w:val="hybridMultilevel"/>
    <w:tmpl w:val="14B24BD6"/>
    <w:lvl w:ilvl="0" w:tplc="0576C35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EE"/>
    <w:rsid w:val="00012F8B"/>
    <w:rsid w:val="0009068A"/>
    <w:rsid w:val="0012421C"/>
    <w:rsid w:val="001A4543"/>
    <w:rsid w:val="002C1E3B"/>
    <w:rsid w:val="0032030F"/>
    <w:rsid w:val="00337C1F"/>
    <w:rsid w:val="003F04C0"/>
    <w:rsid w:val="00416D39"/>
    <w:rsid w:val="004B4ACB"/>
    <w:rsid w:val="004D0881"/>
    <w:rsid w:val="00555FF5"/>
    <w:rsid w:val="005D0FF7"/>
    <w:rsid w:val="0068751F"/>
    <w:rsid w:val="00774D01"/>
    <w:rsid w:val="00866030"/>
    <w:rsid w:val="00943AF6"/>
    <w:rsid w:val="00AC70AB"/>
    <w:rsid w:val="00DC1EEE"/>
    <w:rsid w:val="00DF1090"/>
    <w:rsid w:val="00F258EB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848F51"/>
  <w15:chartTrackingRefBased/>
  <w15:docId w15:val="{6D4C7CEE-12F9-4027-9A32-7626A09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1EEE"/>
    <w:pPr>
      <w:spacing w:after="12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337C1F"/>
    <w:pPr>
      <w:spacing w:after="0" w:line="280" w:lineRule="exact"/>
      <w:jc w:val="both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2421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21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2421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2421C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124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2F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16D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6D3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6D3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6D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6D3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Meiko Gaul</dc:creator>
  <cp:keywords/>
  <dc:description/>
  <cp:lastModifiedBy>Michael Himmelstoß</cp:lastModifiedBy>
  <cp:revision>8</cp:revision>
  <dcterms:created xsi:type="dcterms:W3CDTF">2022-02-02T18:06:00Z</dcterms:created>
  <dcterms:modified xsi:type="dcterms:W3CDTF">2022-02-22T15:21:00Z</dcterms:modified>
</cp:coreProperties>
</file>