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lastRenderedPageBreak/>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w:t>
      </w:r>
      <w:r w:rsidR="000309CF" w:rsidRPr="00F04A34">
        <w:rPr>
          <w:lang w:val="de-DE"/>
        </w:rPr>
        <w:lastRenderedPageBreak/>
        <w:t>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w:t>
      </w:r>
      <w:r w:rsidR="004701F6" w:rsidRPr="00F04A34">
        <w:rPr>
          <w:lang w:val="de-DE"/>
        </w:rPr>
        <w:lastRenderedPageBreak/>
        <w:t>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bookmarkStart w:id="4" w:name="_GoBack"/>
      <w:bookmarkEnd w:id="4"/>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w:t>
      </w:r>
      <w:r w:rsidR="001373F2" w:rsidRPr="007F1BC6">
        <w:rPr>
          <w:lang w:val="de-DE"/>
        </w:rPr>
        <w:lastRenderedPageBreak/>
        <w:t xml:space="preserve">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ie Breitbandversorgung, sobald die Längstrassen in den Straßen vollständig errichtet sind und diejenigen Hausanschlüsse gebaut sind, die im Rahmen der entsprechenden 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 xml:space="preserve">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w:t>
      </w:r>
      <w:r w:rsidR="00CC3568" w:rsidRPr="00F04A34">
        <w:rPr>
          <w:lang w:val="de-DE"/>
        </w:rPr>
        <w:lastRenderedPageBreak/>
        <w:t>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w:t>
      </w:r>
      <w:r w:rsidRPr="00F04A34">
        <w:lastRenderedPageBreak/>
        <w:t xml:space="preserve">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lastRenderedPageBreak/>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lastRenderedPageBreak/>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6" w:name="_Toc257822884"/>
      <w:bookmarkEnd w:id="1"/>
      <w:bookmarkEnd w:id="2"/>
      <w:bookmarkEnd w:id="3"/>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lastRenderedPageBreak/>
        <w:t>§ 1</w:t>
      </w:r>
      <w:r w:rsidR="00053431" w:rsidRPr="00F04A34">
        <w:rPr>
          <w:lang w:val="de-DE"/>
        </w:rPr>
        <w:t>7</w:t>
      </w:r>
      <w:r w:rsidRPr="00F04A34">
        <w:rPr>
          <w:lang w:val="de-DE"/>
        </w:rPr>
        <w:t xml:space="preserve"> </w:t>
      </w:r>
      <w:r w:rsidR="000B00BF" w:rsidRPr="00F04A34">
        <w:t>Endschaftsregelung</w:t>
      </w:r>
      <w:bookmarkEnd w:id="6"/>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xml:space="preserve">.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w:t>
      </w:r>
      <w:r w:rsidR="00EA7EEB" w:rsidRPr="00F04A34">
        <w:rPr>
          <w:lang w:val="de-DE"/>
        </w:rPr>
        <w:lastRenderedPageBreak/>
        <w:t>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w:t>
      </w:r>
      <w:r w:rsidRPr="00F04A34">
        <w:rPr>
          <w:lang w:val="de-DE"/>
        </w:rPr>
        <w:lastRenderedPageBreak/>
        <w:t>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23237D50" w:rsidR="00731ED8" w:rsidRDefault="00731ED8">
    <w:pPr>
      <w:pStyle w:val="Fuzeile"/>
      <w:jc w:val="right"/>
    </w:pPr>
    <w:r>
      <w:fldChar w:fldCharType="begin"/>
    </w:r>
    <w:r>
      <w:instrText xml:space="preserve"> PAGE   \* MERGEFORMAT </w:instrText>
    </w:r>
    <w:r>
      <w:fldChar w:fldCharType="separate"/>
    </w:r>
    <w:r w:rsidR="007F1BC6">
      <w:rPr>
        <w:noProof/>
      </w:rPr>
      <w:t>9</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298D10A9" w14:textId="25EEFD56"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976a5b6-dc90-4b10-9fe8-aa25f387bfb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D446B00-6CE3-4A01-B860-B36654AA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5006</Words>
  <Characters>31541</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36475</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Loos, Thomas (LDBV)</cp:lastModifiedBy>
  <cp:revision>2</cp:revision>
  <cp:lastPrinted>2016-01-12T09:16:00Z</cp:lastPrinted>
  <dcterms:created xsi:type="dcterms:W3CDTF">2020-08-03T12:14:00Z</dcterms:created>
  <dcterms:modified xsi:type="dcterms:W3CDTF">2020-08-03T12:14:00Z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